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TY portfolio year planner</w:t>
      </w:r>
    </w:p>
    <w:p>
      <w:r>
        <w:t>Plan your school's year of Portfolio Development: who teaches it, how students keep their portfolios, and the key points at which students write critical reflections. The TY Programme Statement gives Portfolio Development one class per week; the key points, and the weeks they fall in, are your school's decision.</w:t>
      </w:r>
    </w:p>
    <w:p>
      <w:pPr>
        <w:pStyle w:val="Heading2"/>
      </w:pPr>
      <w:r>
        <w:t>Your school's Portfolio Development</w:t>
      </w:r>
    </w:p>
    <w:tbl>
      <w:tblPr>
        <w:tblStyle w:val="TableGrid"/>
        <w:tblW w:type="auto" w:w="0"/>
        <w:jc w:val="center"/>
        <w:tblLook w:firstColumn="1" w:firstRow="1" w:lastColumn="0" w:lastRow="0" w:noHBand="0" w:noVBand="1" w:val="04A0"/>
      </w:tblPr>
      <w:tblGrid>
        <w:gridCol w:w="4320"/>
        <w:gridCol w:w="4320"/>
      </w:tblGrid>
      <w:tr>
        <w:tc>
          <w:tcPr>
            <w:tcW w:type="dxa" w:w="4320"/>
            <w:shd w:val="clear" w:color="auto" w:fill="EEF2F7"/>
          </w:tcPr>
          <w:p>
            <w:r>
              <w:t>School year</w:t>
            </w:r>
          </w:p>
        </w:tc>
        <w:tc>
          <w:tcPr>
            <w:tcW w:type="dxa" w:w="4320"/>
          </w:tcPr>
          <w:p>
            <w:r>
              <w:br/>
              <w:br/>
            </w:r>
          </w:p>
        </w:tc>
      </w:tr>
      <w:tr>
        <w:tc>
          <w:tcPr>
            <w:tcW w:type="dxa" w:w="4320"/>
            <w:shd w:val="clear" w:color="auto" w:fill="EEF2F7"/>
          </w:tcPr>
          <w:p>
            <w:r>
              <w:t>TY class groups and number of students</w:t>
            </w:r>
          </w:p>
        </w:tc>
        <w:tc>
          <w:tcPr>
            <w:tcW w:type="dxa" w:w="4320"/>
          </w:tcPr>
          <w:p>
            <w:r>
              <w:br/>
              <w:br/>
            </w:r>
          </w:p>
        </w:tc>
      </w:tr>
      <w:tr>
        <w:tc>
          <w:tcPr>
            <w:tcW w:type="dxa" w:w="4320"/>
            <w:shd w:val="clear" w:color="auto" w:fill="EEF2F7"/>
          </w:tcPr>
          <w:p>
            <w:r>
              <w:t>The Portfolio Development class each week, for each class group</w:t>
            </w:r>
          </w:p>
        </w:tc>
        <w:tc>
          <w:tcPr>
            <w:tcW w:type="dxa" w:w="4320"/>
          </w:tcPr>
          <w:p>
            <w:r>
              <w:br/>
              <w:br/>
            </w:r>
          </w:p>
        </w:tc>
      </w:tr>
      <w:tr>
        <w:tc>
          <w:tcPr>
            <w:tcW w:type="dxa" w:w="4320"/>
            <w:shd w:val="clear" w:color="auto" w:fill="EEF2F7"/>
          </w:tcPr>
          <w:p>
            <w:r>
              <w:t>Teachers of the component (rotated during the year, or assigned for the year)</w:t>
            </w:r>
          </w:p>
        </w:tc>
        <w:tc>
          <w:tcPr>
            <w:tcW w:type="dxa" w:w="4320"/>
          </w:tcPr>
          <w:p>
            <w:r>
              <w:br/>
              <w:br/>
            </w:r>
          </w:p>
        </w:tc>
      </w:tr>
      <w:tr>
        <w:tc>
          <w:tcPr>
            <w:tcW w:type="dxa" w:w="4320"/>
            <w:shd w:val="clear" w:color="auto" w:fill="EEF2F7"/>
          </w:tcPr>
          <w:p>
            <w:r>
              <w:t>The TY Coordinator and the TY Core Team</w:t>
            </w:r>
          </w:p>
        </w:tc>
        <w:tc>
          <w:tcPr>
            <w:tcW w:type="dxa" w:w="4320"/>
          </w:tcPr>
          <w:p>
            <w:r>
              <w:br/>
              <w:br/>
            </w:r>
          </w:p>
        </w:tc>
      </w:tr>
      <w:tr>
        <w:tc>
          <w:tcPr>
            <w:tcW w:type="dxa" w:w="4320"/>
            <w:shd w:val="clear" w:color="auto" w:fill="EEF2F7"/>
          </w:tcPr>
          <w:p>
            <w:r>
              <w:t>How students keep their portfolios (digital, physical or both), and the school's own tools</w:t>
            </w:r>
          </w:p>
        </w:tc>
        <w:tc>
          <w:tcPr>
            <w:tcW w:type="dxa" w:w="4320"/>
          </w:tcPr>
          <w:p>
            <w:r>
              <w:br/>
              <w:br/>
            </w:r>
          </w:p>
        </w:tc>
      </w:tr>
      <w:tr>
        <w:tc>
          <w:tcPr>
            <w:tcW w:type="dxa" w:w="4320"/>
            <w:shd w:val="clear" w:color="auto" w:fill="EEF2F7"/>
          </w:tcPr>
          <w:p>
            <w:r>
              <w:t>The school's policies for photographing, recording or sharing students' work</w:t>
            </w:r>
          </w:p>
        </w:tc>
        <w:tc>
          <w:tcPr>
            <w:tcW w:type="dxa" w:w="4320"/>
          </w:tcPr>
          <w:p>
            <w:r>
              <w:br/>
              <w:br/>
            </w:r>
          </w:p>
        </w:tc>
      </w:tr>
    </w:tbl>
    <w:p/>
    <w:p>
      <w:pPr>
        <w:pStyle w:val="Heading2"/>
      </w:pPr>
      <w:r>
        <w:t>What the TY Programme Statement and the NCCA's guidance say</w:t>
      </w:r>
    </w:p>
    <w:p>
      <w:pPr>
        <w:pStyle w:val="ListBullet"/>
      </w:pPr>
      <w:r>
        <w:t>The purpose of a portfolio: "The purpose of a portfolio is to give students the opportunity to apply reflective and critical thinking to their experiences across the four Student Dimensions. In this way, they can evaluate their own experiences and generate a more personalised profile of themselves as a learner and as a maturing young adult."</w:t>
      </w:r>
    </w:p>
    <w:p>
      <w:pPr>
        <w:pStyle w:val="ListBullet"/>
      </w:pPr>
      <w:r>
        <w:t>Portfolio Development, in Table 3: "Supporting and guiding students to fulfil the purpose of the TY portfolio described in the Curriculum Dimension: Recognising and Reporting." Its guidance: "One class per week. Primary function is to support students in developing their TY portfolio over the year. The component may also be used, if feasible, to supplement other aspects of the curriculum."</w:t>
      </w:r>
    </w:p>
    <w:p>
      <w:pPr>
        <w:pStyle w:val="ListBullet"/>
      </w:pPr>
      <w:r>
        <w:t>"The TY Coordinator, in collaboration with the teachers of this component, the TY Core Team and/or senior management, is best placed to enable the Portfolio Development component to be integrated into the TY programme." The role of the teachers of this component could be rotated during the course of the year, or assigned on an annual basis.</w:t>
      </w:r>
    </w:p>
    <w:p>
      <w:pPr>
        <w:pStyle w:val="ListBullet"/>
      </w:pPr>
      <w:r>
        <w:t>"Each student should create and develop their own portfolio". "The portfolio can be in digital and/or physical format."</w:t>
      </w:r>
    </w:p>
    <w:p>
      <w:pPr>
        <w:pStyle w:val="ListBullet"/>
      </w:pPr>
      <w:r>
        <w:t>The essential elements of a TY portfolio, as the guidance gives them: goal setting and the ongoing review of goals; a chronological review of student experiences and learning over the year; progress across each of the four Student Dimensions; critical reflections on key learning and achievement and end of year reflection.</w:t>
      </w:r>
    </w:p>
    <w:p>
      <w:pPr>
        <w:pStyle w:val="ListBullet"/>
      </w:pPr>
      <w:r>
        <w:t>The guidance's activities are optional and intended only to guide teachers of the component.</w:t>
      </w:r>
    </w:p>
    <w:p>
      <w:r>
        <w:rPr>
          <w:color w:val="555F6E"/>
          <w:sz w:val="18"/>
        </w:rPr>
        <w:t>Source: NCCA, Transition Year Programme Statement (for introduction across all schools in September 2025): Recognising and Reporting, and Table 3; NCCA, Guidance for the Portfolio Development component, Transition Year (January 2025).</w:t>
      </w:r>
    </w:p>
    <w:p>
      <w:pPr>
        <w:pStyle w:val="Heading2"/>
      </w:pPr>
      <w:r>
        <w:t>The year's key points</w:t>
      </w:r>
    </w:p>
    <w:tbl>
      <w:tblPr>
        <w:tblStyle w:val="TableGrid"/>
        <w:tblW w:type="auto" w:w="0"/>
        <w:tblLayout w:type="fixed"/>
        <w:tblLook w:firstColumn="1" w:firstRow="1" w:lastColumn="0" w:lastRow="0" w:noHBand="0" w:noVBand="1" w:val="04A0"/>
      </w:tblPr>
      <w:tblGrid>
        <w:gridCol w:w="2160"/>
        <w:gridCol w:w="2160"/>
        <w:gridCol w:w="2160"/>
        <w:gridCol w:w="2160"/>
      </w:tblGrid>
      <w:tr>
        <w:tc>
          <w:tcPr>
            <w:tcW w:type="dxa" w:w="1037"/>
            <w:shd w:val="clear" w:color="auto" w:fill="DCE6F0"/>
          </w:tcPr>
          <w:p>
            <w:r>
              <w:rPr>
                <w:b/>
              </w:rPr>
              <w:t>Week</w:t>
            </w:r>
          </w:p>
        </w:tc>
        <w:tc>
          <w:tcPr>
            <w:tcW w:type="dxa" w:w="3110"/>
            <w:shd w:val="clear" w:color="auto" w:fill="DCE6F0"/>
          </w:tcPr>
          <w:p>
            <w:r>
              <w:rPr>
                <w:b/>
              </w:rPr>
              <w:t>What happens</w:t>
            </w:r>
          </w:p>
        </w:tc>
        <w:tc>
          <w:tcPr>
            <w:tcW w:type="dxa" w:w="2938"/>
            <w:shd w:val="clear" w:color="auto" w:fill="DCE6F0"/>
          </w:tcPr>
          <w:p>
            <w:r>
              <w:rPr>
                <w:b/>
              </w:rPr>
              <w:t>In the Portfolio Development class</w:t>
            </w:r>
          </w:p>
        </w:tc>
        <w:tc>
          <w:tcPr>
            <w:tcW w:type="dxa" w:w="1555"/>
            <w:shd w:val="clear" w:color="auto" w:fill="DCE6F0"/>
          </w:tcPr>
          <w:p>
            <w:r>
              <w:rPr>
                <w:b/>
              </w:rPr>
              <w:t>Who</w:t>
            </w:r>
          </w:p>
        </w:tc>
      </w:tr>
      <w:tr>
        <w:tc>
          <w:tcPr>
            <w:tcW w:type="dxa" w:w="1037"/>
          </w:tcPr>
          <w:p>
            <w:r>
              <w:br/>
            </w:r>
          </w:p>
        </w:tc>
        <w:tc>
          <w:tcPr>
            <w:tcW w:type="dxa" w:w="3110"/>
          </w:tcPr>
          <w:p>
            <w:r>
              <w:t>Students start their portfolios, in the format each chooses</w:t>
            </w:r>
          </w:p>
        </w:tc>
        <w:tc>
          <w:tcPr>
            <w:tcW w:type="dxa" w:w="2938"/>
          </w:tcPr>
          <w:p>
            <w:r>
              <w:br/>
            </w:r>
          </w:p>
        </w:tc>
        <w:tc>
          <w:tcPr>
            <w:tcW w:type="dxa" w:w="1555"/>
          </w:tcPr>
          <w:p>
            <w:r>
              <w:br/>
            </w:r>
          </w:p>
        </w:tc>
      </w:tr>
      <w:tr>
        <w:tc>
          <w:tcPr>
            <w:tcW w:type="dxa" w:w="1037"/>
          </w:tcPr>
          <w:p>
            <w:r>
              <w:br/>
            </w:r>
          </w:p>
        </w:tc>
        <w:tc>
          <w:tcPr>
            <w:tcW w:type="dxa" w:w="3110"/>
          </w:tcPr>
          <w:p>
            <w:r>
              <w:t>Goals set for each of the four Student Dimensions</w:t>
            </w:r>
          </w:p>
        </w:tc>
        <w:tc>
          <w:tcPr>
            <w:tcW w:type="dxa" w:w="2938"/>
          </w:tcPr>
          <w:p>
            <w:r>
              <w:br/>
            </w:r>
          </w:p>
        </w:tc>
        <w:tc>
          <w:tcPr>
            <w:tcW w:type="dxa" w:w="1555"/>
          </w:tcPr>
          <w:p>
            <w:r>
              <w:br/>
            </w:r>
          </w:p>
        </w:tc>
      </w:tr>
      <w:tr>
        <w:tc>
          <w:tcPr>
            <w:tcW w:type="dxa" w:w="1037"/>
          </w:tcPr>
          <w:p>
            <w:r>
              <w:br/>
            </w:r>
          </w:p>
        </w:tc>
        <w:tc>
          <w:tcPr>
            <w:tcW w:type="dxa" w:w="3110"/>
          </w:tcPr>
          <w:p>
            <w:r>
              <w:t>Key point:</w:t>
            </w:r>
          </w:p>
        </w:tc>
        <w:tc>
          <w:tcPr>
            <w:tcW w:type="dxa" w:w="2938"/>
          </w:tcPr>
          <w:p>
            <w:r>
              <w:t>A critical reflection</w:t>
            </w:r>
          </w:p>
        </w:tc>
        <w:tc>
          <w:tcPr>
            <w:tcW w:type="dxa" w:w="1555"/>
          </w:tcPr>
          <w:p>
            <w:r>
              <w:br/>
            </w:r>
          </w:p>
        </w:tc>
      </w:tr>
      <w:tr>
        <w:tc>
          <w:tcPr>
            <w:tcW w:type="dxa" w:w="1037"/>
          </w:tcPr>
          <w:p>
            <w:r>
              <w:br/>
            </w:r>
          </w:p>
        </w:tc>
        <w:tc>
          <w:tcPr>
            <w:tcW w:type="dxa" w:w="3110"/>
          </w:tcPr>
          <w:p>
            <w:r>
              <w:t>The middle of the year: progress rated against the goals, and goals reviewed</w:t>
            </w:r>
          </w:p>
        </w:tc>
        <w:tc>
          <w:tcPr>
            <w:tcW w:type="dxa" w:w="2938"/>
          </w:tcPr>
          <w:p>
            <w:r>
              <w:br/>
            </w:r>
          </w:p>
        </w:tc>
        <w:tc>
          <w:tcPr>
            <w:tcW w:type="dxa" w:w="1555"/>
          </w:tcPr>
          <w:p>
            <w:r>
              <w:br/>
            </w:r>
          </w:p>
        </w:tc>
      </w:tr>
      <w:tr>
        <w:tc>
          <w:tcPr>
            <w:tcW w:type="dxa" w:w="1037"/>
          </w:tcPr>
          <w:p>
            <w:r>
              <w:br/>
            </w:r>
          </w:p>
        </w:tc>
        <w:tc>
          <w:tcPr>
            <w:tcW w:type="dxa" w:w="3110"/>
          </w:tcPr>
          <w:p>
            <w:r>
              <w:t>Key point:</w:t>
            </w:r>
          </w:p>
        </w:tc>
        <w:tc>
          <w:tcPr>
            <w:tcW w:type="dxa" w:w="2938"/>
          </w:tcPr>
          <w:p>
            <w:r>
              <w:t>A critical reflection</w:t>
            </w:r>
          </w:p>
        </w:tc>
        <w:tc>
          <w:tcPr>
            <w:tcW w:type="dxa" w:w="1555"/>
          </w:tcPr>
          <w:p>
            <w:r>
              <w:br/>
            </w:r>
          </w:p>
        </w:tc>
      </w:tr>
      <w:tr>
        <w:tc>
          <w:tcPr>
            <w:tcW w:type="dxa" w:w="1037"/>
          </w:tcPr>
          <w:p>
            <w:r>
              <w:br/>
            </w:r>
          </w:p>
        </w:tc>
        <w:tc>
          <w:tcPr>
            <w:tcW w:type="dxa" w:w="3110"/>
          </w:tcPr>
          <w:p>
            <w:r>
              <w:t>Key point:</w:t>
            </w:r>
          </w:p>
        </w:tc>
        <w:tc>
          <w:tcPr>
            <w:tcW w:type="dxa" w:w="2938"/>
          </w:tcPr>
          <w:p>
            <w:r>
              <w:t>A critical reflection</w:t>
            </w:r>
          </w:p>
        </w:tc>
        <w:tc>
          <w:tcPr>
            <w:tcW w:type="dxa" w:w="1555"/>
          </w:tcPr>
          <w:p>
            <w:r>
              <w:br/>
            </w:r>
          </w:p>
        </w:tc>
      </w:tr>
      <w:tr>
        <w:tc>
          <w:tcPr>
            <w:tcW w:type="dxa" w:w="1037"/>
          </w:tcPr>
          <w:p>
            <w:r>
              <w:br/>
            </w:r>
          </w:p>
        </w:tc>
        <w:tc>
          <w:tcPr>
            <w:tcW w:type="dxa" w:w="3110"/>
          </w:tcPr>
          <w:p>
            <w:r>
              <w:t>Key point:</w:t>
            </w:r>
          </w:p>
        </w:tc>
        <w:tc>
          <w:tcPr>
            <w:tcW w:type="dxa" w:w="2938"/>
          </w:tcPr>
          <w:p>
            <w:r>
              <w:t>A critical reflection</w:t>
            </w:r>
          </w:p>
        </w:tc>
        <w:tc>
          <w:tcPr>
            <w:tcW w:type="dxa" w:w="1555"/>
          </w:tcPr>
          <w:p>
            <w:r>
              <w:br/>
            </w:r>
          </w:p>
        </w:tc>
      </w:tr>
      <w:tr>
        <w:tc>
          <w:tcPr>
            <w:tcW w:type="dxa" w:w="1037"/>
          </w:tcPr>
          <w:p>
            <w:r>
              <w:br/>
            </w:r>
          </w:p>
        </w:tc>
        <w:tc>
          <w:tcPr>
            <w:tcW w:type="dxa" w:w="3110"/>
          </w:tcPr>
          <w:p>
            <w:r>
              <w:t>The end-of-year testimony: a summary of key critical reflections, of no more than 300 words</w:t>
            </w:r>
          </w:p>
        </w:tc>
        <w:tc>
          <w:tcPr>
            <w:tcW w:type="dxa" w:w="2938"/>
          </w:tcPr>
          <w:p>
            <w:r>
              <w:br/>
            </w:r>
          </w:p>
        </w:tc>
        <w:tc>
          <w:tcPr>
            <w:tcW w:type="dxa" w:w="1555"/>
          </w:tcPr>
          <w:p>
            <w:r>
              <w:br/>
            </w:r>
          </w:p>
        </w:tc>
      </w:tr>
      <w:tr>
        <w:tc>
          <w:tcPr>
            <w:tcW w:type="dxa" w:w="1037"/>
          </w:tcPr>
          <w:p>
            <w:r>
              <w:br/>
            </w:r>
          </w:p>
        </w:tc>
        <w:tc>
          <w:tcPr>
            <w:tcW w:type="dxa" w:w="3110"/>
          </w:tcPr>
          <w:p>
            <w:r>
              <w:t>The Student Reflection, in the form the school decided with its students</w:t>
            </w:r>
          </w:p>
        </w:tc>
        <w:tc>
          <w:tcPr>
            <w:tcW w:type="dxa" w:w="2938"/>
          </w:tcPr>
          <w:p>
            <w:r>
              <w:br/>
            </w:r>
          </w:p>
        </w:tc>
        <w:tc>
          <w:tcPr>
            <w:tcW w:type="dxa" w:w="1555"/>
          </w:tcPr>
          <w:p>
            <w:r>
              <w:br/>
            </w:r>
          </w:p>
        </w:tc>
      </w:tr>
      <w:tr>
        <w:tc>
          <w:tcPr>
            <w:tcW w:type="dxa" w:w="1037"/>
          </w:tcPr>
          <w:p>
            <w:r>
              <w:br/>
            </w:r>
          </w:p>
        </w:tc>
        <w:tc>
          <w:tcPr>
            <w:tcW w:type="dxa" w:w="3110"/>
          </w:tcPr>
          <w:p>
            <w:r>
              <w:t>The TY end-of-year celebration, and the TY Core Team's review</w:t>
            </w:r>
          </w:p>
        </w:tc>
        <w:tc>
          <w:tcPr>
            <w:tcW w:type="dxa" w:w="2938"/>
          </w:tcPr>
          <w:p>
            <w:r>
              <w:br/>
            </w:r>
          </w:p>
        </w:tc>
        <w:tc>
          <w:tcPr>
            <w:tcW w:type="dxa" w:w="1555"/>
          </w:tcPr>
          <w:p>
            <w:r>
              <w:br/>
            </w:r>
          </w:p>
        </w:tc>
      </w:tr>
    </w:tbl>
    <w:p/>
    <w:p>
      <w:r>
        <w:rPr>
          <w:i/>
        </w:rPr>
        <w:t>The key points the guidance says might be included: work experience or work placement; relationship-building experiences in TY; cultural and educational trips; completion of a personal project or group project; subject or programme selection for fifth year; extra-curricular activities, such as music, art, sport; workshops with a particular focus on personal growth and development; engagement with a community or charity organisation. The teachers, with the TY coordinator and/or TY Core Team, can decide on these key points. A Portfolio Development class soon after each key point is this course's suggestion.</w:t>
      </w:r>
    </w:p>
    <w:p>
      <w:pPr>
        <w:pStyle w:val="Heading2"/>
      </w:pPr>
      <w:r>
        <w:t>Questions to reflect on as you plan</w:t>
      </w:r>
    </w:p>
    <w:p>
      <w:pPr>
        <w:pStyle w:val="ListBullet"/>
      </w:pPr>
      <w:r>
        <w:t>What are the main considerations when planning a schedule for the Portfolio Development class?</w:t>
      </w:r>
    </w:p>
    <w:p>
      <w:pPr>
        <w:pStyle w:val="ListBullet"/>
      </w:pPr>
      <w:r>
        <w:t>What are some of the key moments and learning experiences for the Portfolio Development component throughout the year?</w:t>
      </w:r>
    </w:p>
    <w:p>
      <w:pPr>
        <w:pStyle w:val="ListBullet"/>
      </w:pPr>
      <w:r>
        <w:t>In addition to this guidance document, what supports are needed for this component?</w:t>
      </w:r>
    </w:p>
    <w:p>
      <w:pPr>
        <w:pStyle w:val="ListBullet"/>
      </w:pPr>
      <w:r>
        <w:t>How best can I provide for student personal choices and preferences when developing their portfolio?</w:t>
      </w:r>
    </w:p>
    <w:p>
      <w:pPr>
        <w:pStyle w:val="ListBullet"/>
      </w:pPr>
      <w:r>
        <w:t>How can I support students to complete and present their portfolio and reflections in whatever format works best for them?</w:t>
      </w:r>
    </w:p>
    <w:p>
      <w:r>
        <w:rPr>
          <w:color w:val="555F6E"/>
          <w:sz w:val="18"/>
        </w:rPr>
        <w:t>Source: NCCA, Guidance for the Portfolio Development component, Transition Year (January 2025): Facilitating the Portfolio Development component, and 4. Critical reflections on key moments and learning experiences.</w:t>
      </w:r>
    </w:p>
    <w:sectPr w:rsidR="00FC693F" w:rsidRPr="0006063C" w:rsidSect="00034616">
      <w:footerReference w:type="default" r:id="rId9"/>
      <w:head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Coding Ireland · TY Portfolio Development toolkit · Adapt it freely for your school.</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4680" w:val="clear"/>
        <w:tab w:pos="8640" w:val="right"/>
        <w:tab w:pos="9360" w:val="clear"/>
      </w:tabs>
    </w:pPr>
    <w:r>
      <w:drawing>
        <wp:inline xmlns:a="http://schemas.openxmlformats.org/drawingml/2006/main" xmlns:pic="http://schemas.openxmlformats.org/drawingml/2006/picture">
          <wp:extent cx="701009" cy="270000"/>
          <wp:docPr id="1" name="Picture 1"/>
          <wp:cNvGraphicFramePr>
            <a:graphicFrameLocks noChangeAspect="1"/>
          </wp:cNvGraphicFramePr>
          <a:graphic>
            <a:graphicData uri="http://schemas.openxmlformats.org/drawingml/2006/picture">
              <pic:pic>
                <pic:nvPicPr>
                  <pic:cNvPr id="0" name="codingireland.png"/>
                  <pic:cNvPicPr/>
                </pic:nvPicPr>
                <pic:blipFill>
                  <a:blip r:embed="rId1"/>
                  <a:stretch>
                    <a:fillRect/>
                  </a:stretch>
                </pic:blipFill>
                <pic:spPr>
                  <a:xfrm>
                    <a:off x="0" y="0"/>
                    <a:ext cx="701009" cy="270000"/>
                  </a:xfrm>
                  <a:prstGeom prst="rect"/>
                </pic:spPr>
              </pic:pic>
            </a:graphicData>
          </a:graphic>
        </wp:inline>
      </w:drawing>
    </w:r>
    <w:r>
      <w:rPr>
        <w:color w:val="555F6E"/>
        <w:sz w:val="14"/>
      </w:rPr>
      <w:tab/>
      <w:t xml:space="preserve">DELIVERED ON  </w:t>
    </w:r>
    <w:r>
      <w:drawing>
        <wp:inline xmlns:a="http://schemas.openxmlformats.org/drawingml/2006/main" xmlns:pic="http://schemas.openxmlformats.org/drawingml/2006/picture">
          <wp:extent cx="750000" cy="135000"/>
          <wp:docPr id="2" name="Picture 2"/>
          <wp:cNvGraphicFramePr>
            <a:graphicFrameLocks noChangeAspect="1"/>
          </wp:cNvGraphicFramePr>
          <a:graphic>
            <a:graphicData uri="http://schemas.openxmlformats.org/drawingml/2006/picture">
              <pic:pic>
                <pic:nvPicPr>
                  <pic:cNvPr id="0" name="123learn.png"/>
                  <pic:cNvPicPr/>
                </pic:nvPicPr>
                <pic:blipFill>
                  <a:blip r:embed="rId2"/>
                  <a:stretch>
                    <a:fillRect/>
                  </a:stretch>
                </pic:blipFill>
                <pic:spPr>
                  <a:xfrm>
                    <a:off x="0" y="0"/>
                    <a:ext cx="750000" cy="135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 portfolio year planner</dc:title>
  <dc:subject/>
  <dc:creator>Coding Ireland</dc:creator>
  <cp:keywords/>
  <dc:description>generated by python-docx</dc:description>
  <cp:lastModifiedBy>Coding Ireland</cp:lastModifiedBy>
  <cp:revision>1</cp:revision>
  <dcterms:created xsi:type="dcterms:W3CDTF">2013-12-23T23:15:00Z</dcterms:created>
  <dcterms:modified xsi:type="dcterms:W3CDTF">2013-12-23T23:15:00Z</dcterms:modified>
  <cp:category/>
</cp:coreProperties>
</file>