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Investigation class planner</w:t>
      </w:r>
    </w:p>
    <w:p>
      <w:r>
        <w:t>Start with the completion date, then plan the hours back from it. The NCCA guidelines describe approximately 20 hours across six stages, and the stages need not run in one continuous block.</w:t>
      </w:r>
    </w:p>
    <w:p>
      <w:pPr>
        <w:pStyle w:val="Heading2"/>
      </w:pPr>
      <w:r>
        <w:t>Your class</w:t>
      </w:r>
    </w:p>
    <w:tbl>
      <w:tblPr>
        <w:tblStyle w:val="TableGrid"/>
        <w:tblW w:type="auto" w:w="0"/>
        <w:jc w:val="center"/>
        <w:tblLook w:firstColumn="1" w:firstRow="1" w:lastColumn="0" w:lastRow="0" w:noHBand="0" w:noVBand="1" w:val="04A0"/>
      </w:tblPr>
      <w:tblGrid>
        <w:gridCol w:w="4320"/>
        <w:gridCol w:w="4320"/>
      </w:tblGrid>
      <w:tr>
        <w:tc>
          <w:tcPr>
            <w:tcW w:type="dxa" w:w="4320"/>
            <w:shd w:val="clear" w:color="auto" w:fill="EEF2F7"/>
          </w:tcPr>
          <w:p>
            <w:r>
              <w:t>Class</w:t>
            </w:r>
          </w:p>
        </w:tc>
        <w:tc>
          <w:tcPr>
            <w:tcW w:type="dxa" w:w="4320"/>
          </w:tcPr>
          <w:p>
            <w:r>
              <w:br/>
              <w:br/>
            </w:r>
          </w:p>
        </w:tc>
      </w:tr>
      <w:tr>
        <w:tc>
          <w:tcPr>
            <w:tcW w:type="dxa" w:w="4320"/>
            <w:shd w:val="clear" w:color="auto" w:fill="EEF2F7"/>
          </w:tcPr>
          <w:p>
            <w:r>
              <w:t>Teacher(s)</w:t>
            </w:r>
          </w:p>
        </w:tc>
        <w:tc>
          <w:tcPr>
            <w:tcW w:type="dxa" w:w="4320"/>
          </w:tcPr>
          <w:p>
            <w:r>
              <w:br/>
              <w:br/>
            </w:r>
          </w:p>
        </w:tc>
      </w:tr>
      <w:tr>
        <w:tc>
          <w:tcPr>
            <w:tcW w:type="dxa" w:w="4320"/>
            <w:shd w:val="clear" w:color="auto" w:fill="EEF2F7"/>
          </w:tcPr>
          <w:p>
            <w:r>
              <w:t>Brief (year and topic)</w:t>
            </w:r>
          </w:p>
        </w:tc>
        <w:tc>
          <w:tcPr>
            <w:tcW w:type="dxa" w:w="4320"/>
          </w:tcPr>
          <w:p>
            <w:r>
              <w:br/>
              <w:br/>
            </w:r>
          </w:p>
        </w:tc>
      </w:tr>
      <w:tr>
        <w:tc>
          <w:tcPr>
            <w:tcW w:type="dxa" w:w="4320"/>
            <w:shd w:val="clear" w:color="auto" w:fill="EEF2F7"/>
          </w:tcPr>
          <w:p>
            <w:r>
              <w:t>Number of students</w:t>
            </w:r>
          </w:p>
        </w:tc>
        <w:tc>
          <w:tcPr>
            <w:tcW w:type="dxa" w:w="4320"/>
          </w:tcPr>
          <w:p>
            <w:r>
              <w:br/>
              <w:br/>
            </w:r>
          </w:p>
        </w:tc>
      </w:tr>
      <w:tr>
        <w:tc>
          <w:tcPr>
            <w:tcW w:type="dxa" w:w="4320"/>
            <w:shd w:val="clear" w:color="auto" w:fill="EEF2F7"/>
          </w:tcPr>
          <w:p>
            <w:r>
              <w:t>Completion date: reports carried out and submitted to you by</w:t>
            </w:r>
          </w:p>
        </w:tc>
        <w:tc>
          <w:tcPr>
            <w:tcW w:type="dxa" w:w="4320"/>
          </w:tcPr>
          <w:p>
            <w:r>
              <w:br/>
              <w:br/>
            </w:r>
          </w:p>
        </w:tc>
      </w:tr>
      <w:tr>
        <w:tc>
          <w:tcPr>
            <w:tcW w:type="dxa" w:w="4320"/>
            <w:shd w:val="clear" w:color="auto" w:fill="EEF2F7"/>
          </w:tcPr>
          <w:p>
            <w:r>
              <w:t>Laboratory sessions booked (dates)</w:t>
            </w:r>
          </w:p>
        </w:tc>
        <w:tc>
          <w:tcPr>
            <w:tcW w:type="dxa" w:w="4320"/>
          </w:tcPr>
          <w:p>
            <w:r>
              <w:br/>
              <w:br/>
            </w:r>
          </w:p>
        </w:tc>
      </w:tr>
    </w:tbl>
    <w:p/>
    <w:p>
      <w:pPr>
        <w:pStyle w:val="Heading2"/>
      </w:pPr>
      <w:r>
        <w:t>This year's facts (the 2027 brief)</w:t>
      </w:r>
    </w:p>
    <w:p>
      <w:pPr>
        <w:pStyle w:val="ListBullet"/>
      </w:pPr>
      <w:r>
        <w:t>The Chemistry in Practice Investigation is worth 200 marks, 40% of the overall marks for Leaving Certificate Chemistry. The remaining 300 marks (60%) are for the final written examination.</w:t>
      </w:r>
    </w:p>
    <w:p>
      <w:pPr>
        <w:pStyle w:val="ListBullet"/>
      </w:pPr>
      <w:r>
        <w:t>The 2027 topic: chemical reactions, the rate of these reactions, and the factors that are used to control it. Section 5 of the brief gives it in full.</w:t>
      </w:r>
    </w:p>
    <w:p>
      <w:pPr>
        <w:pStyle w:val="ListBullet"/>
      </w:pPr>
      <w:r>
        <w:t>The coursework must be carried out and submitted to the class teacher by Friday, 23 April 2027, and will then be submitted to the SEC.</w:t>
      </w:r>
    </w:p>
    <w:p>
      <w:pPr>
        <w:pStyle w:val="ListBullet"/>
      </w:pPr>
      <w:r>
        <w:t>The conducting of the experiment, and the gathering of the primary data, must be fully completed under the direct supervision of the Chemistry teacher, in a relevant, safe and supervised setting.</w:t>
      </w:r>
    </w:p>
    <w:p>
      <w:pPr>
        <w:pStyle w:val="ListBullet"/>
      </w:pPr>
      <w:r>
        <w:t>The report is submitted to the SEC. The investigative log is not.</w:t>
      </w:r>
    </w:p>
    <w:p>
      <w:r>
        <w:rPr>
          <w:color w:val="555F6E"/>
          <w:sz w:val="18"/>
        </w:rPr>
        <w:t>Source: SEC, Leaving Certificate Examination 2027, Chemistry, Chemistry in Practice Investigation (the 2027 brief), pages 2, 5 and 6; SEC, Schedule of Examination and Completion Dates 2026/2027.</w:t>
      </w:r>
    </w:p>
    <w:p>
      <w:pPr>
        <w:pStyle w:val="Heading2"/>
      </w:pPr>
      <w:r>
        <w:t>The six stages</w:t>
      </w:r>
    </w:p>
    <w:tbl>
      <w:tblPr>
        <w:tblStyle w:val="TableGrid"/>
        <w:tblW w:type="auto" w:w="0"/>
        <w:tblLayout w:type="fixed"/>
        <w:tblLook w:firstColumn="1" w:firstRow="1" w:lastColumn="0" w:lastRow="0" w:noHBand="0" w:noVBand="1" w:val="04A0"/>
      </w:tblPr>
      <w:tblGrid>
        <w:gridCol w:w="1728"/>
        <w:gridCol w:w="1728"/>
        <w:gridCol w:w="1728"/>
        <w:gridCol w:w="1728"/>
        <w:gridCol w:w="1728"/>
      </w:tblGrid>
      <w:tr>
        <w:tc>
          <w:tcPr>
            <w:tcW w:type="dxa" w:w="2160"/>
            <w:shd w:val="clear" w:color="auto" w:fill="DCE6F0"/>
          </w:tcPr>
          <w:p>
            <w:r>
              <w:rPr>
                <w:b/>
              </w:rPr>
              <w:t>Stage</w:t>
            </w:r>
          </w:p>
        </w:tc>
        <w:tc>
          <w:tcPr>
            <w:tcW w:type="dxa" w:w="2333"/>
            <w:shd w:val="clear" w:color="auto" w:fill="DCE6F0"/>
          </w:tcPr>
          <w:p>
            <w:r>
              <w:rPr>
                <w:b/>
              </w:rPr>
              <w:t>The guidelines' indicative time</w:t>
            </w:r>
          </w:p>
        </w:tc>
        <w:tc>
          <w:tcPr>
            <w:tcW w:type="dxa" w:w="1382"/>
            <w:shd w:val="clear" w:color="auto" w:fill="DCE6F0"/>
          </w:tcPr>
          <w:p>
            <w:r>
              <w:rPr>
                <w:b/>
              </w:rPr>
              <w:t>When (weeks or dates)</w:t>
            </w:r>
          </w:p>
        </w:tc>
        <w:tc>
          <w:tcPr>
            <w:tcW w:type="dxa" w:w="1382"/>
            <w:shd w:val="clear" w:color="auto" w:fill="DCE6F0"/>
          </w:tcPr>
          <w:p>
            <w:r>
              <w:rPr>
                <w:b/>
              </w:rPr>
              <w:t>Where: class, laboratory or outside class</w:t>
            </w:r>
          </w:p>
        </w:tc>
        <w:tc>
          <w:tcPr>
            <w:tcW w:type="dxa" w:w="1382"/>
            <w:shd w:val="clear" w:color="auto" w:fill="DCE6F0"/>
          </w:tcPr>
          <w:p>
            <w:r>
              <w:rPr>
                <w:b/>
              </w:rPr>
              <w:t>Log check-in</w:t>
            </w:r>
          </w:p>
        </w:tc>
      </w:tr>
      <w:tr>
        <w:tc>
          <w:tcPr>
            <w:tcW w:type="dxa" w:w="2160"/>
          </w:tcPr>
          <w:p>
            <w:r>
              <w:t>Stage 1: Initial Response to the Investigation Brief</w:t>
            </w:r>
          </w:p>
        </w:tc>
        <w:tc>
          <w:tcPr>
            <w:tcW w:type="dxa" w:w="2333"/>
          </w:tcPr>
          <w:p>
            <w:r>
              <w:t>Approximately 1-2 hours</w:t>
            </w:r>
          </w:p>
        </w:tc>
        <w:tc>
          <w:tcPr>
            <w:tcW w:type="dxa" w:w="1382"/>
          </w:tcPr>
          <w:p>
            <w:r>
              <w:br/>
              <w:br/>
            </w:r>
          </w:p>
        </w:tc>
        <w:tc>
          <w:tcPr>
            <w:tcW w:type="dxa" w:w="1382"/>
          </w:tcPr>
          <w:p>
            <w:r>
              <w:br/>
              <w:br/>
            </w:r>
          </w:p>
        </w:tc>
        <w:tc>
          <w:tcPr>
            <w:tcW w:type="dxa" w:w="1382"/>
          </w:tcPr>
          <w:p>
            <w:r>
              <w:br/>
              <w:br/>
            </w:r>
          </w:p>
        </w:tc>
      </w:tr>
      <w:tr>
        <w:tc>
          <w:tcPr>
            <w:tcW w:type="dxa" w:w="2160"/>
          </w:tcPr>
          <w:p>
            <w:r>
              <w:t>Stage 2: Background Research</w:t>
            </w:r>
          </w:p>
        </w:tc>
        <w:tc>
          <w:tcPr>
            <w:tcW w:type="dxa" w:w="2333"/>
          </w:tcPr>
          <w:p>
            <w:r>
              <w:t>Approximately 2-3 hours</w:t>
            </w:r>
          </w:p>
        </w:tc>
        <w:tc>
          <w:tcPr>
            <w:tcW w:type="dxa" w:w="1382"/>
          </w:tcPr>
          <w:p>
            <w:r>
              <w:br/>
              <w:br/>
            </w:r>
          </w:p>
        </w:tc>
        <w:tc>
          <w:tcPr>
            <w:tcW w:type="dxa" w:w="1382"/>
          </w:tcPr>
          <w:p>
            <w:r>
              <w:br/>
              <w:br/>
            </w:r>
          </w:p>
        </w:tc>
        <w:tc>
          <w:tcPr>
            <w:tcW w:type="dxa" w:w="1382"/>
          </w:tcPr>
          <w:p>
            <w:r>
              <w:br/>
              <w:br/>
            </w:r>
          </w:p>
        </w:tc>
      </w:tr>
      <w:tr>
        <w:tc>
          <w:tcPr>
            <w:tcW w:type="dxa" w:w="2160"/>
          </w:tcPr>
          <w:p>
            <w:r>
              <w:t>Stage 3: Designing and Planning the Experiment</w:t>
            </w:r>
          </w:p>
        </w:tc>
        <w:tc>
          <w:tcPr>
            <w:tcW w:type="dxa" w:w="2333"/>
          </w:tcPr>
          <w:p>
            <w:r>
              <w:t>Approximately 2-3 hours</w:t>
            </w:r>
          </w:p>
        </w:tc>
        <w:tc>
          <w:tcPr>
            <w:tcW w:type="dxa" w:w="1382"/>
          </w:tcPr>
          <w:p>
            <w:r>
              <w:br/>
              <w:br/>
            </w:r>
          </w:p>
        </w:tc>
        <w:tc>
          <w:tcPr>
            <w:tcW w:type="dxa" w:w="1382"/>
          </w:tcPr>
          <w:p>
            <w:r>
              <w:br/>
              <w:br/>
            </w:r>
          </w:p>
        </w:tc>
        <w:tc>
          <w:tcPr>
            <w:tcW w:type="dxa" w:w="1382"/>
          </w:tcPr>
          <w:p>
            <w:r>
              <w:br/>
              <w:br/>
            </w:r>
          </w:p>
        </w:tc>
      </w:tr>
      <w:tr>
        <w:tc>
          <w:tcPr>
            <w:tcW w:type="dxa" w:w="2160"/>
          </w:tcPr>
          <w:p>
            <w:r>
              <w:t>Stage 4: Conducting the Experiment</w:t>
            </w:r>
          </w:p>
        </w:tc>
        <w:tc>
          <w:tcPr>
            <w:tcW w:type="dxa" w:w="2333"/>
          </w:tcPr>
          <w:p>
            <w:r>
              <w:t>A typical experiment can be set up, completed and tidied away within approximately 1-2 hours of total laboratory time</w:t>
            </w:r>
          </w:p>
        </w:tc>
        <w:tc>
          <w:tcPr>
            <w:tcW w:type="dxa" w:w="1382"/>
          </w:tcPr>
          <w:p>
            <w:r>
              <w:br/>
              <w:br/>
            </w:r>
          </w:p>
        </w:tc>
        <w:tc>
          <w:tcPr>
            <w:tcW w:type="dxa" w:w="1382"/>
          </w:tcPr>
          <w:p>
            <w:r>
              <w:br/>
              <w:br/>
            </w:r>
          </w:p>
        </w:tc>
        <w:tc>
          <w:tcPr>
            <w:tcW w:type="dxa" w:w="1382"/>
          </w:tcPr>
          <w:p>
            <w:r>
              <w:br/>
              <w:br/>
            </w:r>
          </w:p>
        </w:tc>
      </w:tr>
      <w:tr>
        <w:tc>
          <w:tcPr>
            <w:tcW w:type="dxa" w:w="2160"/>
          </w:tcPr>
          <w:p>
            <w:r>
              <w:t>Stage 5: Data Analysis and Conclusions</w:t>
            </w:r>
          </w:p>
        </w:tc>
        <w:tc>
          <w:tcPr>
            <w:tcW w:type="dxa" w:w="2333"/>
          </w:tcPr>
          <w:p>
            <w:r>
              <w:t>Approximately 1-2 hours</w:t>
            </w:r>
          </w:p>
        </w:tc>
        <w:tc>
          <w:tcPr>
            <w:tcW w:type="dxa" w:w="1382"/>
          </w:tcPr>
          <w:p>
            <w:r>
              <w:br/>
              <w:br/>
            </w:r>
          </w:p>
        </w:tc>
        <w:tc>
          <w:tcPr>
            <w:tcW w:type="dxa" w:w="1382"/>
          </w:tcPr>
          <w:p>
            <w:r>
              <w:br/>
              <w:br/>
            </w:r>
          </w:p>
        </w:tc>
        <w:tc>
          <w:tcPr>
            <w:tcW w:type="dxa" w:w="1382"/>
          </w:tcPr>
          <w:p>
            <w:r>
              <w:br/>
              <w:br/>
            </w:r>
          </w:p>
        </w:tc>
      </w:tr>
      <w:tr>
        <w:tc>
          <w:tcPr>
            <w:tcW w:type="dxa" w:w="2160"/>
          </w:tcPr>
          <w:p>
            <w:r>
              <w:t>Stage 6: Finalising the Chemistry in Practice Investigation Report</w:t>
            </w:r>
          </w:p>
        </w:tc>
        <w:tc>
          <w:tcPr>
            <w:tcW w:type="dxa" w:w="2333"/>
          </w:tcPr>
          <w:p>
            <w:r>
              <w:t>Up to 4 hours</w:t>
            </w:r>
          </w:p>
        </w:tc>
        <w:tc>
          <w:tcPr>
            <w:tcW w:type="dxa" w:w="1382"/>
          </w:tcPr>
          <w:p>
            <w:r>
              <w:br/>
              <w:br/>
            </w:r>
          </w:p>
        </w:tc>
        <w:tc>
          <w:tcPr>
            <w:tcW w:type="dxa" w:w="1382"/>
          </w:tcPr>
          <w:p>
            <w:r>
              <w:br/>
              <w:br/>
            </w:r>
          </w:p>
        </w:tc>
        <w:tc>
          <w:tcPr>
            <w:tcW w:type="dxa" w:w="1382"/>
          </w:tcPr>
          <w:p>
            <w:r>
              <w:br/>
              <w:br/>
            </w:r>
          </w:p>
        </w:tc>
      </w:tr>
    </w:tbl>
    <w:p/>
    <w:p>
      <w:r>
        <w:rPr>
          <w:i/>
        </w:rPr>
        <w:t>The stages are not a rigid or linear process: students move backwards and forwards between them. Students may begin their work during class time and continue it outside the classroom, as is normal practice, but the experiment and the gathering of primary data happen under your direct supervision. The log check-ins are our suggestion: the guidelines advise that students share their investigative logs with you, for regular check-ins that support authentication.</w:t>
      </w:r>
    </w:p>
    <w:p>
      <w:pPr>
        <w:pStyle w:val="Heading2"/>
      </w:pPr>
      <w:r>
        <w:t>Experiment sessions</w:t>
      </w:r>
    </w:p>
    <w:tbl>
      <w:tblPr>
        <w:tblStyle w:val="TableGrid"/>
        <w:tblW w:type="auto" w:w="0"/>
        <w:tblLayout w:type="fixed"/>
        <w:tblLook w:firstColumn="1" w:firstRow="1" w:lastColumn="0" w:lastRow="0" w:noHBand="0" w:noVBand="1" w:val="04A0"/>
      </w:tblPr>
      <w:tblGrid>
        <w:gridCol w:w="1440"/>
        <w:gridCol w:w="1440"/>
        <w:gridCol w:w="1440"/>
        <w:gridCol w:w="1440"/>
        <w:gridCol w:w="1440"/>
        <w:gridCol w:w="1440"/>
      </w:tblGrid>
      <w:tr>
        <w:tc>
          <w:tcPr>
            <w:tcW w:type="dxa" w:w="1210"/>
            <w:shd w:val="clear" w:color="auto" w:fill="DCE6F0"/>
          </w:tcPr>
          <w:p>
            <w:r>
              <w:rPr>
                <w:b/>
              </w:rPr>
              <w:t>Session</w:t>
            </w:r>
          </w:p>
        </w:tc>
        <w:tc>
          <w:tcPr>
            <w:tcW w:type="dxa" w:w="1123"/>
            <w:shd w:val="clear" w:color="auto" w:fill="DCE6F0"/>
          </w:tcPr>
          <w:p>
            <w:r>
              <w:rPr>
                <w:b/>
              </w:rPr>
              <w:t>Date and time</w:t>
            </w:r>
          </w:p>
        </w:tc>
        <w:tc>
          <w:tcPr>
            <w:tcW w:type="dxa" w:w="1210"/>
            <w:shd w:val="clear" w:color="auto" w:fill="DCE6F0"/>
          </w:tcPr>
          <w:p>
            <w:r>
              <w:rPr>
                <w:b/>
              </w:rPr>
              <w:t>Laboratory booked</w:t>
            </w:r>
          </w:p>
        </w:tc>
        <w:tc>
          <w:tcPr>
            <w:tcW w:type="dxa" w:w="1814"/>
            <w:shd w:val="clear" w:color="auto" w:fill="DCE6F0"/>
          </w:tcPr>
          <w:p>
            <w:r>
              <w:rPr>
                <w:b/>
              </w:rPr>
              <w:t>Students conducting their experiment</w:t>
            </w:r>
          </w:p>
        </w:tc>
        <w:tc>
          <w:tcPr>
            <w:tcW w:type="dxa" w:w="1728"/>
            <w:shd w:val="clear" w:color="auto" w:fill="DCE6F0"/>
          </w:tcPr>
          <w:p>
            <w:r>
              <w:rPr>
                <w:b/>
              </w:rPr>
              <w:t>Ready, as each plan sets out: materials, equipment, chemicals</w:t>
            </w:r>
          </w:p>
        </w:tc>
        <w:tc>
          <w:tcPr>
            <w:tcW w:type="dxa" w:w="1555"/>
            <w:shd w:val="clear" w:color="auto" w:fill="DCE6F0"/>
          </w:tcPr>
          <w:p>
            <w:r>
              <w:rPr>
                <w:b/>
              </w:rPr>
              <w:t>What the others work on</w:t>
            </w:r>
          </w:p>
        </w:tc>
      </w:tr>
      <w:tr>
        <w:tc>
          <w:tcPr>
            <w:tcW w:type="dxa" w:w="1210"/>
          </w:tcPr>
          <w:p>
            <w:r>
              <w:t>Session 1</w:t>
            </w:r>
          </w:p>
        </w:tc>
        <w:tc>
          <w:tcPr>
            <w:tcW w:type="dxa" w:w="1123"/>
          </w:tcPr>
          <w:p>
            <w:r>
              <w:br/>
              <w:br/>
              <w:br/>
            </w:r>
          </w:p>
        </w:tc>
        <w:tc>
          <w:tcPr>
            <w:tcW w:type="dxa" w:w="1210"/>
          </w:tcPr>
          <w:p>
            <w:r>
              <w:br/>
              <w:br/>
              <w:br/>
            </w:r>
          </w:p>
        </w:tc>
        <w:tc>
          <w:tcPr>
            <w:tcW w:type="dxa" w:w="1814"/>
          </w:tcPr>
          <w:p>
            <w:r>
              <w:br/>
              <w:br/>
              <w:br/>
            </w:r>
          </w:p>
        </w:tc>
        <w:tc>
          <w:tcPr>
            <w:tcW w:type="dxa" w:w="1728"/>
          </w:tcPr>
          <w:p>
            <w:r>
              <w:br/>
              <w:br/>
              <w:br/>
            </w:r>
          </w:p>
        </w:tc>
        <w:tc>
          <w:tcPr>
            <w:tcW w:type="dxa" w:w="1555"/>
          </w:tcPr>
          <w:p>
            <w:r>
              <w:br/>
              <w:br/>
              <w:br/>
            </w:r>
          </w:p>
        </w:tc>
      </w:tr>
      <w:tr>
        <w:tc>
          <w:tcPr>
            <w:tcW w:type="dxa" w:w="1210"/>
          </w:tcPr>
          <w:p>
            <w:r>
              <w:t>Session 2</w:t>
            </w:r>
          </w:p>
        </w:tc>
        <w:tc>
          <w:tcPr>
            <w:tcW w:type="dxa" w:w="1123"/>
          </w:tcPr>
          <w:p>
            <w:r>
              <w:br/>
              <w:br/>
              <w:br/>
            </w:r>
          </w:p>
        </w:tc>
        <w:tc>
          <w:tcPr>
            <w:tcW w:type="dxa" w:w="1210"/>
          </w:tcPr>
          <w:p>
            <w:r>
              <w:br/>
              <w:br/>
              <w:br/>
            </w:r>
          </w:p>
        </w:tc>
        <w:tc>
          <w:tcPr>
            <w:tcW w:type="dxa" w:w="1814"/>
          </w:tcPr>
          <w:p>
            <w:r>
              <w:br/>
              <w:br/>
              <w:br/>
            </w:r>
          </w:p>
        </w:tc>
        <w:tc>
          <w:tcPr>
            <w:tcW w:type="dxa" w:w="1728"/>
          </w:tcPr>
          <w:p>
            <w:r>
              <w:br/>
              <w:br/>
              <w:br/>
            </w:r>
          </w:p>
        </w:tc>
        <w:tc>
          <w:tcPr>
            <w:tcW w:type="dxa" w:w="1555"/>
          </w:tcPr>
          <w:p>
            <w:r>
              <w:br/>
              <w:br/>
              <w:br/>
            </w:r>
          </w:p>
        </w:tc>
      </w:tr>
      <w:tr>
        <w:tc>
          <w:tcPr>
            <w:tcW w:type="dxa" w:w="1210"/>
          </w:tcPr>
          <w:p>
            <w:r>
              <w:t>Session 3</w:t>
            </w:r>
          </w:p>
        </w:tc>
        <w:tc>
          <w:tcPr>
            <w:tcW w:type="dxa" w:w="1123"/>
          </w:tcPr>
          <w:p>
            <w:r>
              <w:br/>
              <w:br/>
              <w:br/>
            </w:r>
          </w:p>
        </w:tc>
        <w:tc>
          <w:tcPr>
            <w:tcW w:type="dxa" w:w="1210"/>
          </w:tcPr>
          <w:p>
            <w:r>
              <w:br/>
              <w:br/>
              <w:br/>
            </w:r>
          </w:p>
        </w:tc>
        <w:tc>
          <w:tcPr>
            <w:tcW w:type="dxa" w:w="1814"/>
          </w:tcPr>
          <w:p>
            <w:r>
              <w:br/>
              <w:br/>
              <w:br/>
            </w:r>
          </w:p>
        </w:tc>
        <w:tc>
          <w:tcPr>
            <w:tcW w:type="dxa" w:w="1728"/>
          </w:tcPr>
          <w:p>
            <w:r>
              <w:br/>
              <w:br/>
              <w:br/>
            </w:r>
          </w:p>
        </w:tc>
        <w:tc>
          <w:tcPr>
            <w:tcW w:type="dxa" w:w="1555"/>
          </w:tcPr>
          <w:p>
            <w:r>
              <w:br/>
              <w:br/>
              <w:br/>
            </w:r>
          </w:p>
        </w:tc>
      </w:tr>
      <w:tr>
        <w:tc>
          <w:tcPr>
            <w:tcW w:type="dxa" w:w="1210"/>
          </w:tcPr>
          <w:p>
            <w:r>
              <w:t>Catch-up (our suggestion)</w:t>
            </w:r>
          </w:p>
        </w:tc>
        <w:tc>
          <w:tcPr>
            <w:tcW w:type="dxa" w:w="1123"/>
          </w:tcPr>
          <w:p>
            <w:r>
              <w:br/>
              <w:br/>
              <w:br/>
            </w:r>
          </w:p>
        </w:tc>
        <w:tc>
          <w:tcPr>
            <w:tcW w:type="dxa" w:w="1210"/>
          </w:tcPr>
          <w:p>
            <w:r>
              <w:br/>
              <w:br/>
              <w:br/>
            </w:r>
          </w:p>
        </w:tc>
        <w:tc>
          <w:tcPr>
            <w:tcW w:type="dxa" w:w="1814"/>
          </w:tcPr>
          <w:p>
            <w:r>
              <w:br/>
              <w:br/>
              <w:br/>
            </w:r>
          </w:p>
        </w:tc>
        <w:tc>
          <w:tcPr>
            <w:tcW w:type="dxa" w:w="1728"/>
          </w:tcPr>
          <w:p>
            <w:r>
              <w:br/>
              <w:br/>
              <w:br/>
            </w:r>
          </w:p>
        </w:tc>
        <w:tc>
          <w:tcPr>
            <w:tcW w:type="dxa" w:w="1555"/>
          </w:tcPr>
          <w:p>
            <w:r>
              <w:br/>
              <w:br/>
              <w:br/>
            </w:r>
          </w:p>
        </w:tc>
      </w:tr>
    </w:tbl>
    <w:p/>
    <w:p>
      <w:r>
        <w:rPr>
          <w:i/>
        </w:rPr>
        <w:t>The guidelines: a typical experiment can be set up, completed and tidied away within approximately 1-2 hours of total laboratory time; depending on the school context, it may not be feasible to have any more than eight experiments happening at any one time, so three experiment sessions may be needed. Students not involved in an experiment in a session might refine their plan, complete background research or engage in data analysis. Your presence in the laboratory is necessary at all times when experiments are taking place. Each plan sets out the materials, equipment and chemicals, and the concentrations and preparation of the chemicals, the student needs; safety follows your school's own safety statement. A catch-up session for a student who missed theirs is our suggestion.</w:t>
      </w:r>
    </w:p>
    <w:p>
      <w:pPr>
        <w:pStyle w:val="Heading2"/>
      </w:pPr>
      <w:r>
        <w:t>To the completion date</w:t>
      </w:r>
    </w:p>
    <w:tbl>
      <w:tblPr>
        <w:tblStyle w:val="TableGrid"/>
        <w:tblW w:type="auto" w:w="0"/>
        <w:tblLayout w:type="fixed"/>
        <w:tblLook w:firstColumn="1" w:firstRow="1" w:lastColumn="0" w:lastRow="0" w:noHBand="0" w:noVBand="1" w:val="04A0"/>
      </w:tblPr>
      <w:tblGrid>
        <w:gridCol w:w="2880"/>
        <w:gridCol w:w="2880"/>
        <w:gridCol w:w="2880"/>
      </w:tblGrid>
      <w:tr>
        <w:tc>
          <w:tcPr>
            <w:tcW w:type="dxa" w:w="4666"/>
            <w:shd w:val="clear" w:color="auto" w:fill="DCE6F0"/>
          </w:tcPr>
          <w:p>
            <w:r>
              <w:rPr>
                <w:b/>
              </w:rPr>
              <w:t>Step</w:t>
            </w:r>
          </w:p>
        </w:tc>
        <w:tc>
          <w:tcPr>
            <w:tcW w:type="dxa" w:w="1382"/>
            <w:shd w:val="clear" w:color="auto" w:fill="DCE6F0"/>
          </w:tcPr>
          <w:p>
            <w:r>
              <w:rPr>
                <w:b/>
              </w:rPr>
              <w:t>Date</w:t>
            </w:r>
          </w:p>
        </w:tc>
        <w:tc>
          <w:tcPr>
            <w:tcW w:type="dxa" w:w="2592"/>
            <w:shd w:val="clear" w:color="auto" w:fill="DCE6F0"/>
          </w:tcPr>
          <w:p>
            <w:r>
              <w:rPr>
                <w:b/>
              </w:rPr>
              <w:t>Notes</w:t>
            </w:r>
          </w:p>
        </w:tc>
      </w:tr>
      <w:tr>
        <w:tc>
          <w:tcPr>
            <w:tcW w:type="dxa" w:w="4666"/>
          </w:tcPr>
          <w:p>
            <w:r>
              <w:t>Each student's data analysis shared with you (Stage 5)</w:t>
            </w:r>
          </w:p>
        </w:tc>
        <w:tc>
          <w:tcPr>
            <w:tcW w:type="dxa" w:w="1382"/>
          </w:tcPr>
          <w:p>
            <w:r>
              <w:br/>
            </w:r>
          </w:p>
        </w:tc>
        <w:tc>
          <w:tcPr>
            <w:tcW w:type="dxa" w:w="2592"/>
          </w:tcPr>
          <w:p>
            <w:r>
              <w:br/>
            </w:r>
          </w:p>
        </w:tc>
      </w:tr>
      <w:tr>
        <w:tc>
          <w:tcPr>
            <w:tcW w:type="dxa" w:w="4666"/>
          </w:tcPr>
          <w:p>
            <w:r>
              <w:t>Reports finalised (Stage 6). Teachers should not engage in corrections of the report for redrafting by the student.</w:t>
            </w:r>
          </w:p>
        </w:tc>
        <w:tc>
          <w:tcPr>
            <w:tcW w:type="dxa" w:w="1382"/>
          </w:tcPr>
          <w:p>
            <w:r>
              <w:br/>
            </w:r>
          </w:p>
        </w:tc>
        <w:tc>
          <w:tcPr>
            <w:tcW w:type="dxa" w:w="2592"/>
          </w:tcPr>
          <w:p>
            <w:r>
              <w:br/>
            </w:r>
          </w:p>
        </w:tc>
      </w:tr>
      <w:tr>
        <w:tc>
          <w:tcPr>
            <w:tcW w:type="dxa" w:w="4666"/>
          </w:tcPr>
          <w:p>
            <w:r>
              <w:t>Each student converts the report to PDF, prints it and proof-reads it</w:t>
            </w:r>
          </w:p>
        </w:tc>
        <w:tc>
          <w:tcPr>
            <w:tcW w:type="dxa" w:w="1382"/>
          </w:tcPr>
          <w:p>
            <w:r>
              <w:br/>
            </w:r>
          </w:p>
        </w:tc>
        <w:tc>
          <w:tcPr>
            <w:tcW w:type="dxa" w:w="2592"/>
          </w:tcPr>
          <w:p>
            <w:r>
              <w:br/>
            </w:r>
          </w:p>
        </w:tc>
      </w:tr>
      <w:tr>
        <w:tc>
          <w:tcPr>
            <w:tcW w:type="dxa" w:w="4666"/>
          </w:tcPr>
          <w:p>
            <w:r>
              <w:t>Each student submits the digital report to you: by Friday, 23 April 2027 for the 2027 brief</w:t>
            </w:r>
          </w:p>
        </w:tc>
        <w:tc>
          <w:tcPr>
            <w:tcW w:type="dxa" w:w="1382"/>
          </w:tcPr>
          <w:p>
            <w:r>
              <w:br/>
            </w:r>
          </w:p>
        </w:tc>
        <w:tc>
          <w:tcPr>
            <w:tcW w:type="dxa" w:w="2592"/>
          </w:tcPr>
          <w:p>
            <w:r>
              <w:br/>
            </w:r>
          </w:p>
        </w:tc>
      </w:tr>
      <w:tr>
        <w:tc>
          <w:tcPr>
            <w:tcW w:type="dxa" w:w="4666"/>
          </w:tcPr>
          <w:p>
            <w:r>
              <w:t>Each student signs the Authentication Form P.2 when handing over the report; you and the principal sign it</w:t>
            </w:r>
          </w:p>
        </w:tc>
        <w:tc>
          <w:tcPr>
            <w:tcW w:type="dxa" w:w="1382"/>
          </w:tcPr>
          <w:p>
            <w:r>
              <w:br/>
            </w:r>
          </w:p>
        </w:tc>
        <w:tc>
          <w:tcPr>
            <w:tcW w:type="dxa" w:w="2592"/>
          </w:tcPr>
          <w:p>
            <w:r>
              <w:br/>
            </w:r>
          </w:p>
        </w:tc>
      </w:tr>
      <w:tr>
        <w:tc>
          <w:tcPr>
            <w:tcW w:type="dxa" w:w="4666"/>
          </w:tcPr>
          <w:p>
            <w:r>
              <w:t>A printed and a digital copy of each report retained by the school authority until the appeals process has been completed</w:t>
            </w:r>
          </w:p>
        </w:tc>
        <w:tc>
          <w:tcPr>
            <w:tcW w:type="dxa" w:w="1382"/>
          </w:tcPr>
          <w:p>
            <w:r>
              <w:br/>
            </w:r>
          </w:p>
        </w:tc>
        <w:tc>
          <w:tcPr>
            <w:tcW w:type="dxa" w:w="2592"/>
          </w:tcPr>
          <w:p>
            <w:r>
              <w:br/>
            </w:r>
          </w:p>
        </w:tc>
      </w:tr>
      <w:tr>
        <w:tc>
          <w:tcPr>
            <w:tcW w:type="dxa" w:w="4666"/>
          </w:tcPr>
          <w:p>
            <w:r>
              <w:t>The school authority submits the reports through the Schools Portal, as the SEC's circular for the year sets out</w:t>
            </w:r>
          </w:p>
        </w:tc>
        <w:tc>
          <w:tcPr>
            <w:tcW w:type="dxa" w:w="1382"/>
          </w:tcPr>
          <w:p>
            <w:r>
              <w:br/>
            </w:r>
          </w:p>
        </w:tc>
        <w:tc>
          <w:tcPr>
            <w:tcW w:type="dxa" w:w="2592"/>
          </w:tcPr>
          <w:p>
            <w:r>
              <w:br/>
            </w:r>
          </w:p>
        </w:tc>
      </w:tr>
    </w:tbl>
    <w:p/>
    <w:p>
      <w:r>
        <w:rPr>
          <w:color w:val="555F6E"/>
          <w:sz w:val="18"/>
        </w:rPr>
        <w:t>Source: NCCA, Guidelines to support the Chemistry in Practice Investigation (November 2024), pages 5 to 9; SEC, the 2027 brief, pages 2 to 5.</w:t>
      </w:r>
    </w:p>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Coding Ireland · LC Chemistry Investigation toolkit · Adapt it freely for your class.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